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18D00" w14:textId="77777777" w:rsidR="00154F0D" w:rsidRDefault="00154F0D" w:rsidP="00154F0D">
      <w:pPr>
        <w:jc w:val="center"/>
        <w:rPr>
          <w:b/>
          <w:color w:val="4F81BD" w:themeColor="accent1"/>
          <w:sz w:val="96"/>
          <w:u w:val="single"/>
          <w:lang w:val="en-US"/>
        </w:rPr>
      </w:pPr>
      <w:bookmarkStart w:id="0" w:name="_GoBack"/>
      <w:bookmarkEnd w:id="0"/>
    </w:p>
    <w:p w14:paraId="702C22FF" w14:textId="77777777" w:rsidR="00154F0D" w:rsidRPr="00780B30" w:rsidRDefault="00154F0D" w:rsidP="00154F0D">
      <w:pPr>
        <w:jc w:val="center"/>
        <w:rPr>
          <w:b/>
          <w:color w:val="4F81BD" w:themeColor="accent1"/>
          <w:sz w:val="96"/>
          <w:u w:val="single"/>
          <w:lang w:val="en-US"/>
        </w:rPr>
      </w:pPr>
      <w:r w:rsidRPr="00780B30">
        <w:rPr>
          <w:b/>
          <w:color w:val="4F81BD" w:themeColor="accent1"/>
          <w:sz w:val="96"/>
          <w:u w:val="single"/>
          <w:lang w:val="en-US"/>
        </w:rPr>
        <w:t xml:space="preserve">SEDS </w:t>
      </w:r>
    </w:p>
    <w:p w14:paraId="68477B55" w14:textId="77777777" w:rsidR="00154F0D" w:rsidRPr="00780B30" w:rsidRDefault="00154F0D" w:rsidP="00154F0D">
      <w:pPr>
        <w:jc w:val="center"/>
        <w:rPr>
          <w:b/>
          <w:color w:val="4F81BD" w:themeColor="accent1"/>
          <w:sz w:val="96"/>
          <w:u w:val="single"/>
          <w:lang w:val="en-US"/>
        </w:rPr>
      </w:pPr>
      <w:r w:rsidRPr="00780B30">
        <w:rPr>
          <w:b/>
          <w:color w:val="4F81BD" w:themeColor="accent1"/>
          <w:sz w:val="96"/>
          <w:u w:val="single"/>
          <w:lang w:val="en-US"/>
        </w:rPr>
        <w:t xml:space="preserve"> Building module</w:t>
      </w:r>
    </w:p>
    <w:p w14:paraId="19535EE6" w14:textId="77777777" w:rsidR="00154F0D" w:rsidRDefault="00154F0D" w:rsidP="00154F0D">
      <w:pPr>
        <w:jc w:val="center"/>
        <w:rPr>
          <w:b/>
          <w:sz w:val="40"/>
          <w:szCs w:val="40"/>
          <w:u w:val="single"/>
          <w:lang w:val="en-US"/>
        </w:rPr>
      </w:pPr>
    </w:p>
    <w:p w14:paraId="2E6C4A10" w14:textId="77777777" w:rsidR="00154F0D" w:rsidRDefault="00154F0D" w:rsidP="00154F0D">
      <w:pPr>
        <w:jc w:val="center"/>
        <w:rPr>
          <w:b/>
          <w:sz w:val="40"/>
          <w:szCs w:val="40"/>
          <w:u w:val="single"/>
          <w:lang w:val="en-US"/>
        </w:rPr>
      </w:pPr>
      <w:r>
        <w:rPr>
          <w:b/>
          <w:noProof/>
          <w:sz w:val="5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77EDE6" wp14:editId="17EE70EA">
                <wp:simplePos x="0" y="0"/>
                <wp:positionH relativeFrom="column">
                  <wp:posOffset>2286000</wp:posOffset>
                </wp:positionH>
                <wp:positionV relativeFrom="paragraph">
                  <wp:posOffset>177800</wp:posOffset>
                </wp:positionV>
                <wp:extent cx="1371600" cy="0"/>
                <wp:effectExtent l="50800" t="25400" r="76200" b="10160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111BD3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pt,14pt" to="4in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fPLzgEAAAEEAAAOAAAAZHJzL2Uyb0RvYy54bWysU02P2yAQvVfqf0DcG9uptK2sOHvIanup&#10;2qgfP4DFQ4IEDBrYxPn3HUjirNpKK1W9YA/Me8x7M6zuJ+/EAShZDIPsFq0UEDSONuwG+fPH47uP&#10;UqSswqgcBhjkCZK8X799szrGHpa4RzcCCSYJqT/GQe5zjn3TJL0Hr9ICIwQ+NEheZQ5p14ykjszu&#10;XbNs27vmiDRGQg0p8e7D+VCuK78xoPNXYxJk4QbJteW6Ul2fytqsV6rfkYp7qy9lqH+owisb+NKZ&#10;6kFlJZ7J/kHlrSZMaPJCo2/QGKuhamA1Xfubmu97FaFqYXNSnG1K/49WfzlsSdiReydFUJ5btMEQ&#10;2Dd4JjES2iy64tIxpp6TN2FLlyjFLRXJkyFfvixGTNXZ0+wsTFlo3uzef+juWm6Avp41N2CklD8B&#10;elF+BulsKKJVrw6fU+bLOPWaUrZdKGtCZ8dH61wNyrjAxpE4KG50nmrJjHuRxVFBNkXIufT6l08O&#10;zqzfwLARXOyy3l5H8MaptIaQr7wucHaBGa5gBravAy/5BQp1PGdw9zp4RtSbMeQZ7G1A+hvBzQpz&#10;zr86cNZdLHjC8VSbWq3hOauOX95EGeSXcYXfXu76FwAAAP//AwBQSwMEFAAGAAgAAAAhAKCApDfe&#10;AAAACQEAAA8AAABkcnMvZG93bnJldi54bWxMj8tOwzAQRfdI/IM1SOyoQ6uGKo1TIRCLLhAiVMDS&#10;jadJwB5HsfPg7xnEAlbzurpzbr6bnRUj9qH1pOB6kYBAqrxpqVZweHm42oAIUZPR1hMq+MIAu+L8&#10;LNeZ8RM941jGWrAJhUwraGLsMilD1aDTYeE7JL6dfO905LGvpen1xObOymWSpNLplvhDozu8a7D6&#10;LAenwB7G+/X+sQyvT6uP0r7t7fswWaUuL+bbLYiIc/wTww8+o0PBTEc/kAnCKlilCWeJCpYbrixY&#10;36TcHH8Xssjl/wTFNwAAAP//AwBQSwECLQAUAAYACAAAACEAtoM4kv4AAADhAQAAEwAAAAAAAAAA&#10;AAAAAAAAAAAAW0NvbnRlbnRfVHlwZXNdLnhtbFBLAQItABQABgAIAAAAIQA4/SH/1gAAAJQBAAAL&#10;AAAAAAAAAAAAAAAAAC8BAABfcmVscy8ucmVsc1BLAQItABQABgAIAAAAIQDyXfPLzgEAAAEEAAAO&#10;AAAAAAAAAAAAAAAAAC4CAABkcnMvZTJvRG9jLnhtbFBLAQItABQABgAIAAAAIQCggKQ33gAAAAkB&#10;AAAPAAAAAAAAAAAAAAAAACgEAABkcnMvZG93bnJldi54bWxQSwUGAAAAAAQABADzAAAAMwUAAAAA&#10;" strokecolor="black [3213]" strokeweight="2pt">
                <v:shadow on="t" color="black" opacity="24903f" origin=",.5" offset="0,.55556mm"/>
              </v:line>
            </w:pict>
          </mc:Fallback>
        </mc:AlternateContent>
      </w:r>
    </w:p>
    <w:p w14:paraId="0B621D9C" w14:textId="77777777" w:rsidR="00154F0D" w:rsidRDefault="00154F0D" w:rsidP="00154F0D">
      <w:pPr>
        <w:jc w:val="center"/>
        <w:rPr>
          <w:b/>
          <w:sz w:val="40"/>
          <w:szCs w:val="40"/>
          <w:u w:val="single"/>
          <w:lang w:val="en-US"/>
        </w:rPr>
      </w:pPr>
    </w:p>
    <w:p w14:paraId="4E169C53" w14:textId="78DBA3A9" w:rsidR="00154F0D" w:rsidRPr="00E27633" w:rsidRDefault="00154F0D" w:rsidP="00154F0D">
      <w:pPr>
        <w:jc w:val="center"/>
        <w:rPr>
          <w:b/>
          <w:sz w:val="52"/>
          <w:szCs w:val="52"/>
          <w:lang w:val="en-US"/>
        </w:rPr>
      </w:pPr>
      <w:r w:rsidRPr="00E27633">
        <w:rPr>
          <w:b/>
          <w:sz w:val="52"/>
          <w:szCs w:val="52"/>
          <w:lang w:val="en-US"/>
        </w:rPr>
        <w:t xml:space="preserve">Text boxes added in </w:t>
      </w:r>
      <w:r>
        <w:rPr>
          <w:b/>
          <w:sz w:val="52"/>
          <w:szCs w:val="52"/>
          <w:lang w:val="en-US"/>
        </w:rPr>
        <w:t xml:space="preserve">Building Services Demand </w:t>
      </w:r>
      <w:proofErr w:type="spellStart"/>
      <w:r>
        <w:rPr>
          <w:b/>
          <w:sz w:val="52"/>
          <w:szCs w:val="52"/>
          <w:lang w:val="en-US"/>
        </w:rPr>
        <w:t>SubModule</w:t>
      </w:r>
      <w:proofErr w:type="spellEnd"/>
    </w:p>
    <w:p w14:paraId="7E0565A0" w14:textId="77777777" w:rsidR="00154F0D" w:rsidRDefault="00154F0D" w:rsidP="002E1E27">
      <w:pPr>
        <w:jc w:val="center"/>
        <w:rPr>
          <w:b/>
          <w:sz w:val="40"/>
          <w:szCs w:val="40"/>
          <w:u w:val="single"/>
          <w:lang w:val="en-US"/>
        </w:rPr>
      </w:pPr>
    </w:p>
    <w:p w14:paraId="3018AD20" w14:textId="77777777" w:rsidR="00154F0D" w:rsidRDefault="00154F0D" w:rsidP="002E1E27">
      <w:pPr>
        <w:jc w:val="center"/>
        <w:rPr>
          <w:b/>
          <w:sz w:val="40"/>
          <w:szCs w:val="40"/>
          <w:u w:val="single"/>
          <w:lang w:val="en-US"/>
        </w:rPr>
      </w:pPr>
    </w:p>
    <w:p w14:paraId="3DB68429" w14:textId="77777777" w:rsidR="00154F0D" w:rsidRDefault="00154F0D" w:rsidP="002E1E27">
      <w:pPr>
        <w:jc w:val="center"/>
        <w:rPr>
          <w:b/>
          <w:sz w:val="40"/>
          <w:szCs w:val="40"/>
          <w:u w:val="single"/>
          <w:lang w:val="en-US"/>
        </w:rPr>
      </w:pPr>
    </w:p>
    <w:p w14:paraId="6FE6B5C2" w14:textId="77777777" w:rsidR="002E1E27" w:rsidRDefault="002E1E27" w:rsidP="00154F0D">
      <w:pPr>
        <w:rPr>
          <w:b/>
          <w:sz w:val="40"/>
          <w:szCs w:val="40"/>
          <w:u w:val="single"/>
          <w:lang w:val="en-US"/>
        </w:rPr>
      </w:pPr>
    </w:p>
    <w:p w14:paraId="1D227937" w14:textId="77777777" w:rsidR="00154F0D" w:rsidRPr="006B3E61" w:rsidRDefault="00154F0D" w:rsidP="00154F0D">
      <w:pPr>
        <w:rPr>
          <w:b/>
          <w:sz w:val="40"/>
          <w:szCs w:val="40"/>
          <w:u w:val="single"/>
          <w:lang w:val="en-US"/>
        </w:rPr>
      </w:pPr>
    </w:p>
    <w:p w14:paraId="00D7B9E8" w14:textId="77777777" w:rsidR="002E1E27" w:rsidRPr="002A0FD6" w:rsidRDefault="002E1E27" w:rsidP="002E1E27">
      <w:pPr>
        <w:rPr>
          <w:b/>
          <w:sz w:val="22"/>
          <w:szCs w:val="22"/>
          <w:u w:val="single"/>
          <w:lang w:val="en-US"/>
        </w:rPr>
      </w:pPr>
      <w:r w:rsidRPr="002A0FD6">
        <w:rPr>
          <w:b/>
          <w:sz w:val="22"/>
          <w:szCs w:val="22"/>
          <w:u w:val="single"/>
          <w:lang w:val="en-US"/>
        </w:rPr>
        <w:t>How to find these module descriptions?</w:t>
      </w:r>
    </w:p>
    <w:p w14:paraId="6F03B871" w14:textId="77777777" w:rsidR="002E1E27" w:rsidRDefault="002E1E27" w:rsidP="002E1E27">
      <w:pPr>
        <w:rPr>
          <w:sz w:val="22"/>
          <w:szCs w:val="22"/>
          <w:lang w:val="en-US"/>
        </w:rPr>
      </w:pPr>
      <w:r w:rsidRPr="002A0FD6">
        <w:rPr>
          <w:sz w:val="22"/>
          <w:szCs w:val="22"/>
          <w:lang w:val="en-US"/>
        </w:rPr>
        <w:t xml:space="preserve">Click on “Object” in the taskbar, then “Find” (or </w:t>
      </w:r>
      <w:proofErr w:type="spellStart"/>
      <w:r w:rsidRPr="002A0FD6">
        <w:rPr>
          <w:sz w:val="22"/>
          <w:szCs w:val="22"/>
          <w:lang w:val="en-US"/>
        </w:rPr>
        <w:t>Ctrl+F</w:t>
      </w:r>
      <w:proofErr w:type="spellEnd"/>
      <w:r w:rsidRPr="002A0FD6">
        <w:rPr>
          <w:sz w:val="22"/>
          <w:szCs w:val="22"/>
          <w:lang w:val="en-US"/>
        </w:rPr>
        <w:t>). In the window, enter the name of the module, click on “Title” and then “Find”.</w:t>
      </w:r>
    </w:p>
    <w:p w14:paraId="7CC7CBF9" w14:textId="77777777" w:rsidR="003C5EBA" w:rsidRDefault="003C5EBA" w:rsidP="002E1E27">
      <w:pPr>
        <w:rPr>
          <w:sz w:val="22"/>
          <w:szCs w:val="22"/>
          <w:lang w:val="en-US"/>
        </w:rPr>
      </w:pPr>
    </w:p>
    <w:p w14:paraId="467837AD" w14:textId="77777777" w:rsidR="00F94AD4" w:rsidRDefault="00F94AD4" w:rsidP="002E1E27">
      <w:pPr>
        <w:rPr>
          <w:sz w:val="22"/>
          <w:szCs w:val="22"/>
          <w:lang w:val="en-US"/>
        </w:rPr>
      </w:pPr>
    </w:p>
    <w:p w14:paraId="0EEB08F4" w14:textId="77777777" w:rsidR="00154F0D" w:rsidRDefault="00154F0D" w:rsidP="002E1E27">
      <w:pPr>
        <w:rPr>
          <w:sz w:val="22"/>
          <w:szCs w:val="22"/>
          <w:lang w:val="en-US"/>
        </w:rPr>
      </w:pPr>
    </w:p>
    <w:p w14:paraId="69C324D9" w14:textId="77777777" w:rsidR="00154F0D" w:rsidRDefault="00154F0D" w:rsidP="002E1E27">
      <w:pPr>
        <w:rPr>
          <w:sz w:val="22"/>
          <w:szCs w:val="22"/>
          <w:lang w:val="en-US"/>
        </w:rPr>
      </w:pPr>
    </w:p>
    <w:p w14:paraId="59097E50" w14:textId="77777777" w:rsidR="00F94AD4" w:rsidRDefault="00F94AD4" w:rsidP="002E1E27">
      <w:pPr>
        <w:rPr>
          <w:sz w:val="22"/>
          <w:szCs w:val="22"/>
          <w:lang w:val="en-US"/>
        </w:rPr>
      </w:pPr>
    </w:p>
    <w:p w14:paraId="5C8F3FCA" w14:textId="77777777" w:rsidR="00154F0D" w:rsidRDefault="00154F0D" w:rsidP="002E1E27">
      <w:pPr>
        <w:rPr>
          <w:sz w:val="22"/>
          <w:szCs w:val="22"/>
          <w:lang w:val="en-US"/>
        </w:rPr>
      </w:pPr>
    </w:p>
    <w:sdt>
      <w:sdtPr>
        <w:rPr>
          <w:rFonts w:asciiTheme="minorHAnsi" w:hAnsiTheme="minorHAnsi"/>
        </w:rPr>
        <w:id w:val="-197419967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C3FAE49" w14:textId="77777777" w:rsidR="003C5EBA" w:rsidRPr="00F94AD4" w:rsidRDefault="003C5EBA" w:rsidP="003C5EBA">
          <w:pPr>
            <w:pStyle w:val="TOC1"/>
            <w:jc w:val="center"/>
            <w:rPr>
              <w:color w:val="4F81BD" w:themeColor="accent1"/>
              <w:sz w:val="36"/>
              <w:szCs w:val="36"/>
              <w:lang w:val="en-US"/>
            </w:rPr>
          </w:pPr>
          <w:r w:rsidRPr="00F94AD4">
            <w:rPr>
              <w:color w:val="4F81BD" w:themeColor="accent1"/>
              <w:sz w:val="36"/>
              <w:szCs w:val="36"/>
              <w:lang w:val="en-US"/>
            </w:rPr>
            <w:t>Summary</w:t>
          </w:r>
        </w:p>
        <w:p w14:paraId="706957A8" w14:textId="77777777" w:rsidR="00154F0D" w:rsidRDefault="003C5EBA">
          <w:pPr>
            <w:pStyle w:val="TOC1"/>
            <w:tabs>
              <w:tab w:val="right" w:leader="dot" w:pos="9056"/>
            </w:tabs>
            <w:rPr>
              <w:rFonts w:asciiTheme="minorHAnsi" w:hAnsiTheme="minorHAnsi"/>
              <w:noProof/>
            </w:rPr>
          </w:pPr>
          <w:r>
            <w:fldChar w:fldCharType="begin"/>
          </w:r>
          <w:r>
            <w:instrText>TOC \o "1-3" \h \z \u</w:instrText>
          </w:r>
          <w:r>
            <w:fldChar w:fldCharType="separate"/>
          </w:r>
          <w:r w:rsidR="00154F0D" w:rsidRPr="0083753B">
            <w:rPr>
              <w:noProof/>
              <w:lang w:val="en-US"/>
            </w:rPr>
            <w:t>“Building Services Demand” Module</w:t>
          </w:r>
          <w:r w:rsidR="00154F0D">
            <w:rPr>
              <w:noProof/>
            </w:rPr>
            <w:tab/>
          </w:r>
          <w:r w:rsidR="00154F0D">
            <w:rPr>
              <w:noProof/>
            </w:rPr>
            <w:fldChar w:fldCharType="begin"/>
          </w:r>
          <w:r w:rsidR="00154F0D">
            <w:rPr>
              <w:noProof/>
            </w:rPr>
            <w:instrText xml:space="preserve"> PAGEREF _Toc205546565 \h </w:instrText>
          </w:r>
          <w:r w:rsidR="00154F0D">
            <w:rPr>
              <w:noProof/>
            </w:rPr>
          </w:r>
          <w:r w:rsidR="00154F0D">
            <w:rPr>
              <w:noProof/>
            </w:rPr>
            <w:fldChar w:fldCharType="separate"/>
          </w:r>
          <w:r w:rsidR="00154F0D">
            <w:rPr>
              <w:noProof/>
            </w:rPr>
            <w:t>3</w:t>
          </w:r>
          <w:r w:rsidR="00154F0D">
            <w:rPr>
              <w:noProof/>
            </w:rPr>
            <w:fldChar w:fldCharType="end"/>
          </w:r>
        </w:p>
        <w:p w14:paraId="1454B08F" w14:textId="77777777" w:rsidR="00154F0D" w:rsidRDefault="00154F0D">
          <w:pPr>
            <w:pStyle w:val="TOC1"/>
            <w:tabs>
              <w:tab w:val="right" w:leader="dot" w:pos="9056"/>
            </w:tabs>
            <w:rPr>
              <w:rFonts w:asciiTheme="minorHAnsi" w:hAnsiTheme="minorHAnsi"/>
              <w:noProof/>
            </w:rPr>
          </w:pPr>
          <w:r w:rsidRPr="0083753B">
            <w:rPr>
              <w:noProof/>
              <w:lang w:val="en-US"/>
            </w:rPr>
            <w:t>“Commercial Floorspace Projections” Module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_Toc205546566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1006206A" w14:textId="77777777" w:rsidR="00154F0D" w:rsidRDefault="00154F0D">
          <w:pPr>
            <w:pStyle w:val="TOC1"/>
            <w:tabs>
              <w:tab w:val="right" w:leader="dot" w:pos="9056"/>
            </w:tabs>
            <w:rPr>
              <w:rFonts w:asciiTheme="minorHAnsi" w:hAnsiTheme="minorHAnsi"/>
              <w:noProof/>
            </w:rPr>
          </w:pPr>
          <w:r w:rsidRPr="0083753B">
            <w:rPr>
              <w:noProof/>
              <w:lang w:val="en-US"/>
            </w:rPr>
            <w:t>“Commercial Floorspace Calculations” Module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_Toc205546567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56163A67" w14:textId="77777777" w:rsidR="00154F0D" w:rsidRDefault="00154F0D">
          <w:pPr>
            <w:pStyle w:val="TOC1"/>
            <w:tabs>
              <w:tab w:val="right" w:leader="dot" w:pos="9056"/>
            </w:tabs>
            <w:rPr>
              <w:rFonts w:asciiTheme="minorHAnsi" w:hAnsiTheme="minorHAnsi"/>
              <w:noProof/>
            </w:rPr>
          </w:pPr>
          <w:r w:rsidRPr="0083753B">
            <w:rPr>
              <w:noProof/>
              <w:lang w:val="en-US"/>
            </w:rPr>
            <w:t>“Commercial Service Demands” Module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_Toc205546568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2DCB6E97" w14:textId="77777777" w:rsidR="00154F0D" w:rsidRDefault="00154F0D">
          <w:pPr>
            <w:pStyle w:val="TOC1"/>
            <w:tabs>
              <w:tab w:val="right" w:leader="dot" w:pos="9056"/>
            </w:tabs>
            <w:rPr>
              <w:rFonts w:asciiTheme="minorHAnsi" w:hAnsiTheme="minorHAnsi"/>
              <w:noProof/>
            </w:rPr>
          </w:pPr>
          <w:r w:rsidRPr="0083753B">
            <w:rPr>
              <w:noProof/>
              <w:lang w:val="en-US"/>
            </w:rPr>
            <w:t>“Residential Floorspace Projections” Module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_Toc205546569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705E6348" w14:textId="77777777" w:rsidR="00154F0D" w:rsidRDefault="00154F0D">
          <w:pPr>
            <w:pStyle w:val="TOC1"/>
            <w:tabs>
              <w:tab w:val="right" w:leader="dot" w:pos="9056"/>
            </w:tabs>
            <w:rPr>
              <w:rFonts w:asciiTheme="minorHAnsi" w:hAnsiTheme="minorHAnsi"/>
              <w:noProof/>
            </w:rPr>
          </w:pPr>
          <w:r w:rsidRPr="0083753B">
            <w:rPr>
              <w:noProof/>
              <w:lang w:val="en-US"/>
            </w:rPr>
            <w:t>“Residential Floorspace Calculations” Module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_Toc205546570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7013A57C" w14:textId="77777777" w:rsidR="00154F0D" w:rsidRDefault="00154F0D">
          <w:pPr>
            <w:pStyle w:val="TOC1"/>
            <w:tabs>
              <w:tab w:val="right" w:leader="dot" w:pos="9056"/>
            </w:tabs>
            <w:rPr>
              <w:rFonts w:asciiTheme="minorHAnsi" w:hAnsiTheme="minorHAnsi"/>
              <w:noProof/>
            </w:rPr>
          </w:pPr>
          <w:r w:rsidRPr="0083753B">
            <w:rPr>
              <w:noProof/>
              <w:lang w:val="en-US"/>
            </w:rPr>
            <w:t>“Residential Service Demands” Module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_Toc205546571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3CC06847" w14:textId="77777777" w:rsidR="00154F0D" w:rsidRDefault="00154F0D">
          <w:pPr>
            <w:pStyle w:val="TOC1"/>
            <w:tabs>
              <w:tab w:val="right" w:leader="dot" w:pos="9056"/>
            </w:tabs>
            <w:rPr>
              <w:rFonts w:asciiTheme="minorHAnsi" w:hAnsiTheme="minorHAnsi"/>
              <w:noProof/>
            </w:rPr>
          </w:pPr>
          <w:r w:rsidRPr="0083753B">
            <w:rPr>
              <w:noProof/>
              <w:lang w:val="en-US"/>
            </w:rPr>
            <w:t>“Stochastic Levers” Module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_Toc205546572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5E564D85" w14:textId="77777777" w:rsidR="003C5EBA" w:rsidRDefault="003C5EBA">
          <w:r>
            <w:rPr>
              <w:b/>
              <w:bCs/>
              <w:noProof/>
            </w:rPr>
            <w:fldChar w:fldCharType="end"/>
          </w:r>
        </w:p>
      </w:sdtContent>
    </w:sdt>
    <w:p w14:paraId="2FE8BE16" w14:textId="77777777" w:rsidR="003C5EBA" w:rsidRDefault="003C5EBA" w:rsidP="00385994">
      <w:pPr>
        <w:pStyle w:val="Heading1"/>
        <w:rPr>
          <w:lang w:val="en-US"/>
        </w:rPr>
      </w:pPr>
    </w:p>
    <w:p w14:paraId="0ED11282" w14:textId="77777777" w:rsidR="00F94AD4" w:rsidRDefault="00F94AD4" w:rsidP="00F94AD4"/>
    <w:p w14:paraId="05BFC7C4" w14:textId="77777777" w:rsidR="00F94AD4" w:rsidRDefault="00F94AD4" w:rsidP="00F94AD4"/>
    <w:p w14:paraId="295F6912" w14:textId="77777777" w:rsidR="00F94AD4" w:rsidRDefault="00F94AD4" w:rsidP="00F94AD4"/>
    <w:p w14:paraId="4C4E9A3A" w14:textId="77777777" w:rsidR="00F94AD4" w:rsidRDefault="00F94AD4" w:rsidP="00F94AD4"/>
    <w:p w14:paraId="6140A4E1" w14:textId="77777777" w:rsidR="00F94AD4" w:rsidRDefault="00F94AD4" w:rsidP="00F94AD4"/>
    <w:p w14:paraId="08024055" w14:textId="77777777" w:rsidR="00F94AD4" w:rsidRDefault="00F94AD4" w:rsidP="00F94AD4"/>
    <w:p w14:paraId="7E69791D" w14:textId="77777777" w:rsidR="00154F0D" w:rsidRDefault="00154F0D" w:rsidP="00F94AD4"/>
    <w:p w14:paraId="2F583709" w14:textId="77777777" w:rsidR="00154F0D" w:rsidRDefault="00154F0D" w:rsidP="00F94AD4"/>
    <w:p w14:paraId="66442484" w14:textId="77777777" w:rsidR="00154F0D" w:rsidRDefault="00154F0D" w:rsidP="00F94AD4"/>
    <w:p w14:paraId="5F39CA65" w14:textId="77777777" w:rsidR="00154F0D" w:rsidRDefault="00154F0D" w:rsidP="00F94AD4"/>
    <w:p w14:paraId="47167ADA" w14:textId="77777777" w:rsidR="00154F0D" w:rsidRDefault="00154F0D" w:rsidP="00F94AD4"/>
    <w:p w14:paraId="4473E831" w14:textId="77777777" w:rsidR="00154F0D" w:rsidRDefault="00154F0D" w:rsidP="00F94AD4"/>
    <w:p w14:paraId="2D9F8854" w14:textId="77777777" w:rsidR="00154F0D" w:rsidRDefault="00154F0D" w:rsidP="00F94AD4"/>
    <w:p w14:paraId="5C3DC0E7" w14:textId="77777777" w:rsidR="00154F0D" w:rsidRDefault="00154F0D" w:rsidP="00F94AD4"/>
    <w:p w14:paraId="481E3536" w14:textId="77777777" w:rsidR="00154F0D" w:rsidRDefault="00154F0D" w:rsidP="00F94AD4"/>
    <w:p w14:paraId="49EC238C" w14:textId="77777777" w:rsidR="00154F0D" w:rsidRDefault="00154F0D" w:rsidP="00F94AD4"/>
    <w:p w14:paraId="77173B7E" w14:textId="77777777" w:rsidR="00154F0D" w:rsidRDefault="00154F0D" w:rsidP="00F94AD4"/>
    <w:p w14:paraId="7E8F0D3C" w14:textId="77777777" w:rsidR="00154F0D" w:rsidRPr="00F94AD4" w:rsidRDefault="00154F0D" w:rsidP="00F94AD4"/>
    <w:p w14:paraId="596AA244" w14:textId="77777777" w:rsidR="00385994" w:rsidRDefault="00385994" w:rsidP="003C5EBA">
      <w:pPr>
        <w:pStyle w:val="Heading1"/>
        <w:rPr>
          <w:lang w:val="en-US"/>
        </w:rPr>
      </w:pPr>
      <w:bookmarkStart w:id="1" w:name="_Toc205546565"/>
      <w:r>
        <w:rPr>
          <w:lang w:val="en-US"/>
        </w:rPr>
        <w:t>“Building Services Demand” Module</w:t>
      </w:r>
      <w:bookmarkEnd w:id="1"/>
    </w:p>
    <w:p w14:paraId="6ADFFD0B" w14:textId="77777777" w:rsidR="00385994" w:rsidRDefault="00385994" w:rsidP="00385994"/>
    <w:p w14:paraId="561F9AB4" w14:textId="4A0789EF" w:rsidR="00AF49F9" w:rsidRPr="00FD6E53" w:rsidRDefault="007166C6" w:rsidP="00385994">
      <w:pPr>
        <w:rPr>
          <w:sz w:val="20"/>
          <w:szCs w:val="20"/>
          <w:lang w:val="en-US"/>
        </w:rPr>
      </w:pPr>
      <w:r w:rsidRPr="00FD6E53">
        <w:rPr>
          <w:sz w:val="20"/>
          <w:szCs w:val="20"/>
          <w:lang w:val="en-US"/>
        </w:rPr>
        <w:t>In this module, when the initial parameters of the base year (i.e. 2005) are entered, the different parameters can be modified to be used in calculating the demand projections</w:t>
      </w:r>
      <w:r w:rsidR="00FD6E53" w:rsidRPr="00FD6E53">
        <w:rPr>
          <w:sz w:val="20"/>
          <w:szCs w:val="20"/>
          <w:lang w:val="en-US"/>
        </w:rPr>
        <w:t xml:space="preserve"> and the different service demands can be obtained quickly based on the floorspace forecast (above is the details of these results). </w:t>
      </w:r>
    </w:p>
    <w:p w14:paraId="21FFDF56" w14:textId="0D907C70" w:rsidR="00385994" w:rsidRPr="00385994" w:rsidRDefault="007166C6" w:rsidP="003C5EBA">
      <w:pPr>
        <w:pStyle w:val="Heading1"/>
        <w:rPr>
          <w:lang w:val="en-US"/>
        </w:rPr>
      </w:pPr>
      <w:bookmarkStart w:id="2" w:name="_Toc205546566"/>
      <w:r>
        <w:rPr>
          <w:lang w:val="en-US"/>
        </w:rPr>
        <w:t xml:space="preserve"> </w:t>
      </w:r>
      <w:r w:rsidR="003C5EBA">
        <w:rPr>
          <w:lang w:val="en-US"/>
        </w:rPr>
        <w:t>“</w:t>
      </w:r>
      <w:r w:rsidR="00385994">
        <w:rPr>
          <w:lang w:val="en-US"/>
        </w:rPr>
        <w:t>Commercial Floorspace Projections</w:t>
      </w:r>
      <w:r w:rsidR="003C5EBA">
        <w:rPr>
          <w:lang w:val="en-US"/>
        </w:rPr>
        <w:t>” Module</w:t>
      </w:r>
      <w:bookmarkEnd w:id="2"/>
    </w:p>
    <w:p w14:paraId="70279C7D" w14:textId="77777777" w:rsidR="00BB4C77" w:rsidRDefault="00BB4C77"/>
    <w:p w14:paraId="3AAB54BB" w14:textId="11716FC2" w:rsidR="003C5EBA" w:rsidRPr="003C5EBA" w:rsidRDefault="003C5EBA">
      <w:pPr>
        <w:rPr>
          <w:sz w:val="20"/>
          <w:szCs w:val="20"/>
          <w:lang w:val="en-US"/>
        </w:rPr>
      </w:pPr>
      <w:r w:rsidRPr="003C5EBA">
        <w:rPr>
          <w:sz w:val="20"/>
          <w:szCs w:val="20"/>
          <w:lang w:val="en-US"/>
        </w:rPr>
        <w:t xml:space="preserve">This module gives different commercial </w:t>
      </w:r>
      <w:r w:rsidR="00B90EFC" w:rsidRPr="003C5EBA">
        <w:rPr>
          <w:sz w:val="20"/>
          <w:szCs w:val="20"/>
          <w:lang w:val="en-US"/>
        </w:rPr>
        <w:t>floor space</w:t>
      </w:r>
      <w:r w:rsidR="00B90EFC">
        <w:rPr>
          <w:sz w:val="20"/>
          <w:szCs w:val="20"/>
          <w:lang w:val="en-US"/>
        </w:rPr>
        <w:t xml:space="preserve"> projections depending on</w:t>
      </w:r>
      <w:r w:rsidR="00CE3539">
        <w:rPr>
          <w:sz w:val="20"/>
          <w:szCs w:val="20"/>
          <w:lang w:val="en-US"/>
        </w:rPr>
        <w:t xml:space="preserve"> </w:t>
      </w:r>
      <w:r w:rsidR="007166C6">
        <w:rPr>
          <w:sz w:val="20"/>
          <w:szCs w:val="20"/>
          <w:lang w:val="en-US"/>
        </w:rPr>
        <w:t>the time step chosen</w:t>
      </w:r>
      <w:r w:rsidRPr="003C5EBA">
        <w:rPr>
          <w:sz w:val="20"/>
          <w:szCs w:val="20"/>
          <w:lang w:val="en-US"/>
        </w:rPr>
        <w:t xml:space="preserve"> (0.5, 1 or 2) in each census region.</w:t>
      </w:r>
    </w:p>
    <w:p w14:paraId="59DE645F" w14:textId="77777777" w:rsidR="003C5EBA" w:rsidRPr="00385994" w:rsidRDefault="003C5EBA" w:rsidP="003C5EBA">
      <w:pPr>
        <w:pStyle w:val="Heading1"/>
        <w:rPr>
          <w:lang w:val="en-US"/>
        </w:rPr>
      </w:pPr>
      <w:bookmarkStart w:id="3" w:name="_Toc205546567"/>
      <w:r>
        <w:rPr>
          <w:lang w:val="en-US"/>
        </w:rPr>
        <w:t>“Commercial Floorspace Calculations” Module</w:t>
      </w:r>
      <w:bookmarkEnd w:id="3"/>
    </w:p>
    <w:p w14:paraId="43BD7391" w14:textId="77777777" w:rsidR="00385994" w:rsidRDefault="00385994"/>
    <w:p w14:paraId="740C6016" w14:textId="31D68BAF" w:rsidR="00F94AD4" w:rsidRDefault="003C5EBA">
      <w:pPr>
        <w:rPr>
          <w:sz w:val="20"/>
          <w:szCs w:val="20"/>
          <w:lang w:val="en-US"/>
        </w:rPr>
      </w:pPr>
      <w:r w:rsidRPr="003C5EBA">
        <w:rPr>
          <w:sz w:val="20"/>
          <w:szCs w:val="20"/>
          <w:lang w:val="en-US"/>
        </w:rPr>
        <w:t xml:space="preserve">This module shows the different calculations </w:t>
      </w:r>
      <w:r w:rsidR="00411039">
        <w:rPr>
          <w:sz w:val="20"/>
          <w:szCs w:val="20"/>
          <w:lang w:val="en-US"/>
        </w:rPr>
        <w:t>that were executed</w:t>
      </w:r>
      <w:r w:rsidRPr="003C5EBA">
        <w:rPr>
          <w:sz w:val="20"/>
          <w:szCs w:val="20"/>
          <w:lang w:val="en-US"/>
        </w:rPr>
        <w:t xml:space="preserve"> to obtain the floor</w:t>
      </w:r>
      <w:r w:rsidR="00AF7BC6">
        <w:rPr>
          <w:sz w:val="20"/>
          <w:szCs w:val="20"/>
          <w:lang w:val="en-US"/>
        </w:rPr>
        <w:t xml:space="preserve"> </w:t>
      </w:r>
      <w:r w:rsidRPr="003C5EBA">
        <w:rPr>
          <w:sz w:val="20"/>
          <w:szCs w:val="20"/>
          <w:lang w:val="en-US"/>
        </w:rPr>
        <w:t>space projection in each commercial buildings type and census region.</w:t>
      </w:r>
    </w:p>
    <w:p w14:paraId="19CF284D" w14:textId="77777777" w:rsidR="00F94AD4" w:rsidRPr="00385994" w:rsidRDefault="00F94AD4" w:rsidP="00F94AD4">
      <w:pPr>
        <w:pStyle w:val="Heading1"/>
        <w:rPr>
          <w:lang w:val="en-US"/>
        </w:rPr>
      </w:pPr>
      <w:bookmarkStart w:id="4" w:name="_Toc205546568"/>
      <w:r>
        <w:rPr>
          <w:lang w:val="en-US"/>
        </w:rPr>
        <w:t>“Commercial Service Demands” Module</w:t>
      </w:r>
      <w:bookmarkEnd w:id="4"/>
    </w:p>
    <w:p w14:paraId="3B49D2A3" w14:textId="77777777" w:rsidR="00F94AD4" w:rsidRDefault="00F94AD4">
      <w:pPr>
        <w:rPr>
          <w:sz w:val="20"/>
          <w:szCs w:val="20"/>
          <w:lang w:val="en-US"/>
        </w:rPr>
      </w:pPr>
    </w:p>
    <w:p w14:paraId="1A2287B1" w14:textId="3FD4C9F4" w:rsidR="00F94AD4" w:rsidRDefault="00F94AD4">
      <w:pPr>
        <w:rPr>
          <w:sz w:val="20"/>
          <w:szCs w:val="20"/>
          <w:lang w:val="en-US"/>
        </w:rPr>
      </w:pPr>
      <w:r w:rsidRPr="00411039">
        <w:rPr>
          <w:sz w:val="20"/>
          <w:szCs w:val="20"/>
          <w:lang w:val="en-US"/>
        </w:rPr>
        <w:t xml:space="preserve">This module shows the different calculations </w:t>
      </w:r>
      <w:r w:rsidR="00411039" w:rsidRPr="00411039">
        <w:rPr>
          <w:sz w:val="20"/>
          <w:szCs w:val="20"/>
          <w:lang w:val="en-US"/>
        </w:rPr>
        <w:t xml:space="preserve">that were </w:t>
      </w:r>
      <w:r w:rsidRPr="00411039">
        <w:rPr>
          <w:sz w:val="20"/>
          <w:szCs w:val="20"/>
          <w:lang w:val="en-US"/>
        </w:rPr>
        <w:t>executed to obtain the service demands forecast in</w:t>
      </w:r>
      <w:r w:rsidRPr="00F94AD4">
        <w:rPr>
          <w:sz w:val="20"/>
          <w:szCs w:val="20"/>
          <w:lang w:val="en-US"/>
        </w:rPr>
        <w:t xml:space="preserve"> each commercial buildings type and census region.</w:t>
      </w:r>
    </w:p>
    <w:p w14:paraId="39BC47ED" w14:textId="77777777" w:rsidR="00F94AD4" w:rsidRPr="00385994" w:rsidRDefault="00F94AD4" w:rsidP="00F94AD4">
      <w:pPr>
        <w:pStyle w:val="Heading1"/>
        <w:rPr>
          <w:lang w:val="en-US"/>
        </w:rPr>
      </w:pPr>
      <w:bookmarkStart w:id="5" w:name="_Toc205546569"/>
      <w:r>
        <w:rPr>
          <w:lang w:val="en-US"/>
        </w:rPr>
        <w:t>“Residential Floorspace Projections” Module</w:t>
      </w:r>
      <w:bookmarkEnd w:id="5"/>
    </w:p>
    <w:p w14:paraId="07201289" w14:textId="77777777" w:rsidR="00F94AD4" w:rsidRDefault="00F94AD4">
      <w:pPr>
        <w:rPr>
          <w:sz w:val="20"/>
          <w:szCs w:val="20"/>
          <w:lang w:val="en-US"/>
        </w:rPr>
      </w:pPr>
    </w:p>
    <w:p w14:paraId="1B203401" w14:textId="6DCD43C0" w:rsidR="00F94AD4" w:rsidRDefault="00F94AD4">
      <w:pPr>
        <w:rPr>
          <w:sz w:val="20"/>
          <w:szCs w:val="20"/>
          <w:lang w:val="en-US"/>
        </w:rPr>
      </w:pPr>
      <w:r w:rsidRPr="00F94AD4">
        <w:rPr>
          <w:sz w:val="20"/>
          <w:szCs w:val="20"/>
          <w:lang w:val="en-US"/>
        </w:rPr>
        <w:t>This module gives different residential floor</w:t>
      </w:r>
      <w:r w:rsidR="00AF7BC6">
        <w:rPr>
          <w:sz w:val="20"/>
          <w:szCs w:val="20"/>
          <w:lang w:val="en-US"/>
        </w:rPr>
        <w:t xml:space="preserve"> </w:t>
      </w:r>
      <w:r w:rsidRPr="00F94AD4">
        <w:rPr>
          <w:sz w:val="20"/>
          <w:szCs w:val="20"/>
          <w:lang w:val="en-US"/>
        </w:rPr>
        <w:t>space projections in each census region depending</w:t>
      </w:r>
      <w:r w:rsidR="003F0EDC">
        <w:rPr>
          <w:sz w:val="20"/>
          <w:szCs w:val="20"/>
          <w:lang w:val="en-US"/>
        </w:rPr>
        <w:t xml:space="preserve"> on </w:t>
      </w:r>
      <w:r w:rsidR="00CE3539">
        <w:rPr>
          <w:sz w:val="20"/>
          <w:szCs w:val="20"/>
          <w:lang w:val="en-US"/>
        </w:rPr>
        <w:t xml:space="preserve">the time step chosen. </w:t>
      </w:r>
    </w:p>
    <w:p w14:paraId="3D77DBD0" w14:textId="77777777" w:rsidR="00F94AD4" w:rsidRPr="00385994" w:rsidRDefault="00F94AD4" w:rsidP="00F94AD4">
      <w:pPr>
        <w:pStyle w:val="Heading1"/>
        <w:rPr>
          <w:lang w:val="en-US"/>
        </w:rPr>
      </w:pPr>
      <w:bookmarkStart w:id="6" w:name="_Toc205546570"/>
      <w:r>
        <w:rPr>
          <w:lang w:val="en-US"/>
        </w:rPr>
        <w:t>“Residential Floorspace Calculations” Module</w:t>
      </w:r>
      <w:bookmarkEnd w:id="6"/>
    </w:p>
    <w:p w14:paraId="3A387F0C" w14:textId="77777777" w:rsidR="00F94AD4" w:rsidRDefault="00F94AD4">
      <w:pPr>
        <w:rPr>
          <w:sz w:val="20"/>
          <w:szCs w:val="20"/>
          <w:lang w:val="en-US"/>
        </w:rPr>
      </w:pPr>
    </w:p>
    <w:p w14:paraId="494639E8" w14:textId="4EAF8761" w:rsidR="00F94AD4" w:rsidRDefault="00F94AD4">
      <w:pPr>
        <w:rPr>
          <w:sz w:val="20"/>
          <w:szCs w:val="20"/>
          <w:lang w:val="en-US"/>
        </w:rPr>
      </w:pPr>
      <w:r w:rsidRPr="00F94AD4">
        <w:rPr>
          <w:sz w:val="20"/>
          <w:szCs w:val="20"/>
          <w:lang w:val="en-US"/>
        </w:rPr>
        <w:t xml:space="preserve">This module shows the different calculations </w:t>
      </w:r>
      <w:r w:rsidR="003E145C">
        <w:rPr>
          <w:sz w:val="20"/>
          <w:szCs w:val="20"/>
          <w:lang w:val="en-US"/>
        </w:rPr>
        <w:t>that were executed</w:t>
      </w:r>
      <w:r w:rsidRPr="00F94AD4">
        <w:rPr>
          <w:sz w:val="20"/>
          <w:szCs w:val="20"/>
          <w:lang w:val="en-US"/>
        </w:rPr>
        <w:t xml:space="preserve"> to obtain the floor</w:t>
      </w:r>
      <w:r w:rsidR="0090267F">
        <w:rPr>
          <w:sz w:val="20"/>
          <w:szCs w:val="20"/>
          <w:lang w:val="en-US"/>
        </w:rPr>
        <w:t xml:space="preserve"> </w:t>
      </w:r>
      <w:r w:rsidRPr="00F94AD4">
        <w:rPr>
          <w:sz w:val="20"/>
          <w:szCs w:val="20"/>
          <w:lang w:val="en-US"/>
        </w:rPr>
        <w:t>space forecast in each residential buildings type and census region.</w:t>
      </w:r>
    </w:p>
    <w:p w14:paraId="26284FD3" w14:textId="77777777" w:rsidR="00F94AD4" w:rsidRPr="00385994" w:rsidRDefault="00F94AD4" w:rsidP="00F94AD4">
      <w:pPr>
        <w:pStyle w:val="Heading1"/>
        <w:rPr>
          <w:lang w:val="en-US"/>
        </w:rPr>
      </w:pPr>
      <w:bookmarkStart w:id="7" w:name="_Toc205546571"/>
      <w:r>
        <w:rPr>
          <w:lang w:val="en-US"/>
        </w:rPr>
        <w:t>“Residential Service Demands” Module</w:t>
      </w:r>
      <w:bookmarkEnd w:id="7"/>
    </w:p>
    <w:p w14:paraId="738B239F" w14:textId="77777777" w:rsidR="00F94AD4" w:rsidRDefault="00F94AD4">
      <w:pPr>
        <w:rPr>
          <w:sz w:val="20"/>
          <w:szCs w:val="20"/>
          <w:lang w:val="en-US"/>
        </w:rPr>
      </w:pPr>
    </w:p>
    <w:p w14:paraId="7B564A5B" w14:textId="1C0E487E" w:rsidR="00F94AD4" w:rsidRDefault="00F94AD4">
      <w:pPr>
        <w:rPr>
          <w:sz w:val="20"/>
          <w:szCs w:val="20"/>
          <w:lang w:val="en-US"/>
        </w:rPr>
      </w:pPr>
      <w:r w:rsidRPr="00F94AD4">
        <w:rPr>
          <w:sz w:val="20"/>
          <w:szCs w:val="20"/>
          <w:lang w:val="en-US"/>
        </w:rPr>
        <w:t xml:space="preserve">This module shows the different calculations </w:t>
      </w:r>
      <w:r w:rsidR="003E145C">
        <w:rPr>
          <w:sz w:val="20"/>
          <w:szCs w:val="20"/>
          <w:lang w:val="en-US"/>
        </w:rPr>
        <w:t xml:space="preserve">that were </w:t>
      </w:r>
      <w:r w:rsidRPr="00F94AD4">
        <w:rPr>
          <w:sz w:val="20"/>
          <w:szCs w:val="20"/>
          <w:lang w:val="en-US"/>
        </w:rPr>
        <w:t>executed to obtain the service demands forecast in each residential buildings type and census region.</w:t>
      </w:r>
    </w:p>
    <w:p w14:paraId="51524789" w14:textId="77777777" w:rsidR="00154F0D" w:rsidRDefault="00154F0D" w:rsidP="00F94AD4">
      <w:pPr>
        <w:pStyle w:val="Heading1"/>
        <w:rPr>
          <w:lang w:val="en-US"/>
        </w:rPr>
      </w:pPr>
    </w:p>
    <w:p w14:paraId="386F7FA4" w14:textId="77777777" w:rsidR="00F94AD4" w:rsidRDefault="00F94AD4" w:rsidP="00F94AD4">
      <w:pPr>
        <w:pStyle w:val="Heading1"/>
        <w:rPr>
          <w:lang w:val="en-US"/>
        </w:rPr>
      </w:pPr>
      <w:bookmarkStart w:id="8" w:name="_Toc205546572"/>
      <w:r>
        <w:rPr>
          <w:lang w:val="en-US"/>
        </w:rPr>
        <w:t>“Stochastic Levers” Module</w:t>
      </w:r>
      <w:bookmarkEnd w:id="8"/>
    </w:p>
    <w:p w14:paraId="288096B6" w14:textId="77777777" w:rsidR="00F94AD4" w:rsidRPr="00F94AD4" w:rsidRDefault="00F94AD4" w:rsidP="00F94AD4"/>
    <w:p w14:paraId="68229FAD" w14:textId="77777777" w:rsidR="00F94AD4" w:rsidRPr="00F94AD4" w:rsidRDefault="00F94AD4" w:rsidP="00F94AD4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</w:t>
      </w:r>
      <w:r w:rsidRPr="00F94AD4">
        <w:rPr>
          <w:sz w:val="20"/>
          <w:szCs w:val="20"/>
          <w:lang w:val="en-US"/>
        </w:rPr>
        <w:t>n this module, uncertainty can be added in:</w:t>
      </w:r>
    </w:p>
    <w:p w14:paraId="1354AEB4" w14:textId="77777777" w:rsidR="00F94AD4" w:rsidRPr="00F94AD4" w:rsidRDefault="00F94AD4" w:rsidP="00F94AD4">
      <w:pPr>
        <w:rPr>
          <w:sz w:val="20"/>
          <w:szCs w:val="20"/>
          <w:lang w:val="en-US"/>
        </w:rPr>
      </w:pPr>
      <w:r w:rsidRPr="00F94AD4">
        <w:rPr>
          <w:sz w:val="20"/>
          <w:szCs w:val="20"/>
          <w:lang w:val="en-US"/>
        </w:rPr>
        <w:t>- Commercial floorspace forecast (</w:t>
      </w:r>
      <w:proofErr w:type="spellStart"/>
      <w:r w:rsidRPr="00F94AD4">
        <w:rPr>
          <w:sz w:val="20"/>
          <w:szCs w:val="20"/>
          <w:lang w:val="en-US"/>
        </w:rPr>
        <w:t>national_policy_I</w:t>
      </w:r>
      <w:proofErr w:type="spellEnd"/>
      <w:r w:rsidRPr="00F94AD4">
        <w:rPr>
          <w:sz w:val="20"/>
          <w:szCs w:val="20"/>
          <w:lang w:val="en-US"/>
        </w:rPr>
        <w:t>)</w:t>
      </w:r>
    </w:p>
    <w:p w14:paraId="32BEF6B9" w14:textId="77777777" w:rsidR="00F94AD4" w:rsidRPr="00F94AD4" w:rsidRDefault="00F94AD4" w:rsidP="00F94AD4">
      <w:pPr>
        <w:rPr>
          <w:sz w:val="20"/>
          <w:szCs w:val="20"/>
          <w:lang w:val="en-US"/>
        </w:rPr>
      </w:pPr>
      <w:r w:rsidRPr="00F94AD4">
        <w:rPr>
          <w:sz w:val="20"/>
          <w:szCs w:val="20"/>
          <w:lang w:val="en-US"/>
        </w:rPr>
        <w:t>- Residential floorspace forecast (</w:t>
      </w:r>
      <w:proofErr w:type="spellStart"/>
      <w:r w:rsidRPr="00F94AD4">
        <w:rPr>
          <w:sz w:val="20"/>
          <w:szCs w:val="20"/>
          <w:lang w:val="en-US"/>
        </w:rPr>
        <w:t>national_policy_i</w:t>
      </w:r>
      <w:proofErr w:type="spellEnd"/>
      <w:r w:rsidRPr="00F94AD4">
        <w:rPr>
          <w:sz w:val="20"/>
          <w:szCs w:val="20"/>
          <w:lang w:val="en-US"/>
        </w:rPr>
        <w:t>)</w:t>
      </w:r>
    </w:p>
    <w:p w14:paraId="630BEE0C" w14:textId="77777777" w:rsidR="00F94AD4" w:rsidRPr="00F94AD4" w:rsidRDefault="00F94AD4" w:rsidP="00F94AD4">
      <w:pPr>
        <w:rPr>
          <w:sz w:val="20"/>
          <w:szCs w:val="20"/>
          <w:lang w:val="en-US"/>
        </w:rPr>
      </w:pPr>
      <w:r w:rsidRPr="00F94AD4">
        <w:rPr>
          <w:sz w:val="20"/>
          <w:szCs w:val="20"/>
          <w:lang w:val="en-US"/>
        </w:rPr>
        <w:t>- Commercial service demand (national_policy_1)</w:t>
      </w:r>
    </w:p>
    <w:p w14:paraId="5BB83034" w14:textId="4DE59313" w:rsidR="00F94AD4" w:rsidRPr="003C5EBA" w:rsidRDefault="00F94AD4" w:rsidP="003B5D4A">
      <w:pPr>
        <w:tabs>
          <w:tab w:val="left" w:pos="6192"/>
        </w:tabs>
        <w:rPr>
          <w:sz w:val="20"/>
          <w:szCs w:val="20"/>
          <w:lang w:val="en-US"/>
        </w:rPr>
      </w:pPr>
      <w:r w:rsidRPr="00F94AD4">
        <w:rPr>
          <w:sz w:val="20"/>
          <w:szCs w:val="20"/>
          <w:lang w:val="en-US"/>
        </w:rPr>
        <w:t>- Residential service demand (national_policy_3)</w:t>
      </w:r>
      <w:r w:rsidR="003B5D4A">
        <w:rPr>
          <w:sz w:val="20"/>
          <w:szCs w:val="20"/>
          <w:lang w:val="en-US"/>
        </w:rPr>
        <w:tab/>
      </w:r>
    </w:p>
    <w:sectPr w:rsidR="00F94AD4" w:rsidRPr="003C5EBA" w:rsidSect="00154F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982FB" w14:textId="77777777" w:rsidR="00E62482" w:rsidRDefault="00E62482" w:rsidP="00343B0D">
      <w:pPr>
        <w:spacing w:after="0"/>
      </w:pPr>
      <w:r>
        <w:separator/>
      </w:r>
    </w:p>
  </w:endnote>
  <w:endnote w:type="continuationSeparator" w:id="0">
    <w:p w14:paraId="04884F84" w14:textId="77777777" w:rsidR="00E62482" w:rsidRDefault="00E62482" w:rsidP="00343B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6D9D3" w14:textId="77777777" w:rsidR="003B03DB" w:rsidRDefault="003B03DB" w:rsidP="003B03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4914D14" w14:textId="77777777" w:rsidR="003B03DB" w:rsidRDefault="003B03DB" w:rsidP="00343B0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9B302" w14:textId="77777777" w:rsidR="003B03DB" w:rsidRDefault="003B03DB" w:rsidP="003B03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2DEE">
      <w:rPr>
        <w:rStyle w:val="PageNumber"/>
        <w:noProof/>
      </w:rPr>
      <w:t>1</w:t>
    </w:r>
    <w:r>
      <w:rPr>
        <w:rStyle w:val="PageNumber"/>
      </w:rPr>
      <w:fldChar w:fldCharType="end"/>
    </w:r>
  </w:p>
  <w:p w14:paraId="1B070DD0" w14:textId="77777777" w:rsidR="003B03DB" w:rsidRDefault="003B03DB" w:rsidP="00343B0D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E9237" w14:textId="77777777" w:rsidR="002D2DEE" w:rsidRDefault="002D2D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4ED66" w14:textId="77777777" w:rsidR="00E62482" w:rsidRDefault="00E62482" w:rsidP="00343B0D">
      <w:pPr>
        <w:spacing w:after="0"/>
      </w:pPr>
      <w:r>
        <w:separator/>
      </w:r>
    </w:p>
  </w:footnote>
  <w:footnote w:type="continuationSeparator" w:id="0">
    <w:p w14:paraId="721E199F" w14:textId="77777777" w:rsidR="00E62482" w:rsidRDefault="00E62482" w:rsidP="00343B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5382E" w14:textId="77777777" w:rsidR="002D2DEE" w:rsidRDefault="002D2D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2112A" w14:textId="5FF7828B" w:rsidR="003B03DB" w:rsidRDefault="003B03DB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69B673A8" wp14:editId="26A2CC7D">
          <wp:simplePos x="0" y="0"/>
          <wp:positionH relativeFrom="column">
            <wp:posOffset>2514600</wp:posOffset>
          </wp:positionH>
          <wp:positionV relativeFrom="paragraph">
            <wp:posOffset>-235585</wp:posOffset>
          </wp:positionV>
          <wp:extent cx="685187" cy="582295"/>
          <wp:effectExtent l="0" t="0" r="635" b="1905"/>
          <wp:wrapNone/>
          <wp:docPr id="4" name="Image 4" descr="Macintosh HD:Users:FF:Desktop:Capture d’écran 2012-08-02 à 16.47.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FF:Desktop:Capture d’écran 2012-08-02 à 16.47.1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87" cy="58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2D2DEE">
      <w:rPr>
        <w:lang w:val="en-US"/>
      </w:rPr>
      <w:t>September 19, 2012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0EA95" w14:textId="77777777" w:rsidR="002D2DEE" w:rsidRDefault="002D2D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E27"/>
    <w:rsid w:val="00154F0D"/>
    <w:rsid w:val="002D2DEE"/>
    <w:rsid w:val="002E1E27"/>
    <w:rsid w:val="003409D5"/>
    <w:rsid w:val="00343B0D"/>
    <w:rsid w:val="00385994"/>
    <w:rsid w:val="003B03DB"/>
    <w:rsid w:val="003B5D4A"/>
    <w:rsid w:val="003C5EBA"/>
    <w:rsid w:val="003E145C"/>
    <w:rsid w:val="003F0EDC"/>
    <w:rsid w:val="00411039"/>
    <w:rsid w:val="00602596"/>
    <w:rsid w:val="007166C6"/>
    <w:rsid w:val="008478A3"/>
    <w:rsid w:val="0085634B"/>
    <w:rsid w:val="0090267F"/>
    <w:rsid w:val="00AF49F9"/>
    <w:rsid w:val="00AF7BC6"/>
    <w:rsid w:val="00B90EFC"/>
    <w:rsid w:val="00BB4C77"/>
    <w:rsid w:val="00CE3539"/>
    <w:rsid w:val="00D560D9"/>
    <w:rsid w:val="00E62482"/>
    <w:rsid w:val="00EE5007"/>
    <w:rsid w:val="00F94AD4"/>
    <w:rsid w:val="00FB4FB7"/>
    <w:rsid w:val="00FD6E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B1C8B9"/>
  <w15:docId w15:val="{89412F35-464A-4B86-B6F5-31B31E23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E27"/>
  </w:style>
  <w:style w:type="paragraph" w:styleId="Heading1">
    <w:name w:val="heading 1"/>
    <w:basedOn w:val="Normal"/>
    <w:next w:val="Normal"/>
    <w:link w:val="Heading1Char"/>
    <w:uiPriority w:val="9"/>
    <w:qFormat/>
    <w:rsid w:val="00385994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4F81BD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59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994"/>
    <w:rPr>
      <w:rFonts w:eastAsiaTheme="majorEastAsia" w:cstheme="majorBidi"/>
      <w:b/>
      <w:bCs/>
      <w:color w:val="4F81BD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859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3C5EBA"/>
    <w:pPr>
      <w:spacing w:line="276" w:lineRule="auto"/>
      <w:outlineLvl w:val="9"/>
    </w:pPr>
    <w:rPr>
      <w:rFonts w:asciiTheme="majorHAnsi" w:hAnsiTheme="majorHAnsi"/>
      <w:b w:val="0"/>
      <w:sz w:val="24"/>
      <w:szCs w:val="28"/>
      <w:lang w:val="en-GB" w:eastAsia="fr-FR"/>
    </w:rPr>
  </w:style>
  <w:style w:type="paragraph" w:styleId="TOC1">
    <w:name w:val="toc 1"/>
    <w:basedOn w:val="Normal"/>
    <w:next w:val="Normal"/>
    <w:autoRedefine/>
    <w:uiPriority w:val="39"/>
    <w:unhideWhenUsed/>
    <w:rsid w:val="00F94AD4"/>
    <w:pPr>
      <w:spacing w:before="120" w:after="0"/>
    </w:pPr>
    <w:rPr>
      <w:rFonts w:asciiTheme="majorHAnsi" w:hAnsiTheme="maj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EBA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EBA"/>
    <w:rPr>
      <w:rFonts w:ascii="Lucida Grande" w:hAnsi="Lucida Grande" w:cs="Lucida Grande"/>
      <w:sz w:val="18"/>
      <w:szCs w:val="18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3C5EBA"/>
    <w:pPr>
      <w:spacing w:after="0"/>
    </w:pPr>
    <w:rPr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3C5EBA"/>
    <w:pPr>
      <w:spacing w:after="0"/>
      <w:ind w:left="240"/>
    </w:pPr>
    <w:rPr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C5EBA"/>
    <w:pPr>
      <w:pBdr>
        <w:between w:val="double" w:sz="6" w:space="0" w:color="auto"/>
      </w:pBdr>
      <w:spacing w:after="0"/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C5EBA"/>
    <w:pPr>
      <w:pBdr>
        <w:between w:val="double" w:sz="6" w:space="0" w:color="auto"/>
      </w:pBdr>
      <w:spacing w:after="0"/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C5EBA"/>
    <w:pPr>
      <w:pBdr>
        <w:between w:val="double" w:sz="6" w:space="0" w:color="auto"/>
      </w:pBdr>
      <w:spacing w:after="0"/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C5EBA"/>
    <w:pPr>
      <w:pBdr>
        <w:between w:val="double" w:sz="6" w:space="0" w:color="auto"/>
      </w:pBdr>
      <w:spacing w:after="0"/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C5EBA"/>
    <w:pPr>
      <w:pBdr>
        <w:between w:val="double" w:sz="6" w:space="0" w:color="auto"/>
      </w:pBdr>
      <w:spacing w:after="0"/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C5EBA"/>
    <w:pPr>
      <w:pBdr>
        <w:between w:val="double" w:sz="6" w:space="0" w:color="auto"/>
      </w:pBdr>
      <w:spacing w:after="0"/>
      <w:ind w:left="1680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43B0D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43B0D"/>
  </w:style>
  <w:style w:type="character" w:styleId="PageNumber">
    <w:name w:val="page number"/>
    <w:basedOn w:val="DefaultParagraphFont"/>
    <w:uiPriority w:val="99"/>
    <w:semiHidden/>
    <w:unhideWhenUsed/>
    <w:rsid w:val="00343B0D"/>
  </w:style>
  <w:style w:type="paragraph" w:styleId="Header">
    <w:name w:val="header"/>
    <w:basedOn w:val="Normal"/>
    <w:link w:val="HeaderChar"/>
    <w:uiPriority w:val="99"/>
    <w:unhideWhenUsed/>
    <w:rsid w:val="00154F0D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54F0D"/>
  </w:style>
  <w:style w:type="table" w:styleId="TableGrid">
    <w:name w:val="Table Grid"/>
    <w:basedOn w:val="TableNormal"/>
    <w:uiPriority w:val="1"/>
    <w:rsid w:val="00154F0D"/>
    <w:pPr>
      <w:spacing w:after="0"/>
    </w:pPr>
    <w:rPr>
      <w:sz w:val="22"/>
      <w:szCs w:val="22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4A69D2-3A8D-4BCD-85AB-087CAEB57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/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SEDS Buildings Module</dc:title>
  <dc:subject>About text boxes added in the SEDS building services demand submodule</dc:subject>
  <dc:creator>Frank AWA</dc:creator>
  <cp:keywords/>
  <dc:description/>
  <cp:lastModifiedBy>von Kuegelgen, Theresa</cp:lastModifiedBy>
  <cp:revision>2</cp:revision>
  <dcterms:created xsi:type="dcterms:W3CDTF">2019-06-18T21:19:00Z</dcterms:created>
  <dcterms:modified xsi:type="dcterms:W3CDTF">2019-06-18T21:19:00Z</dcterms:modified>
</cp:coreProperties>
</file>